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media/image1.png" ContentType="image/png"/>
  <Override PartName="/word/header5.xml" ContentType="application/vnd.openxmlformats-officedocument.wordprocessingml.header+xml"/>
  <Override PartName="/word/_rels/document.xml.rels" ContentType="application/vnd.openxmlformats-package.relationships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spacing w:beforeAutospacing="0" w:before="0" w:afterAutospacing="0" w:after="0"/>
        <w:jc w:val="center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overflowPunct w:val="false"/>
        <w:spacing w:before="0" w:after="0"/>
        <w:jc w:val="center"/>
        <w:textAlignment w:val="baseline"/>
        <w:rPr/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false"/>
        <w:spacing w:before="0" w:after="0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overflowPunct w:val="false"/>
        <w:spacing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spacing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spacing w:before="0" w:after="0"/>
        <w:jc w:val="center"/>
        <w:textAlignment w:val="baseline"/>
        <w:rPr>
          <w:rFonts w:ascii="Liberation Serif" w:hAnsi="Liberation Serif"/>
          <w:b/>
          <w:color w:val="000000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</w:rPr>
      </w:r>
    </w:p>
    <w:p>
      <w:pPr>
        <w:pStyle w:val="Normal"/>
        <w:overflowPunct w:val="false"/>
        <w:spacing w:before="0" w:after="0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570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570"/>
      </w:tblGrid>
      <w:tr>
        <w:trPr>
          <w:trHeight w:val="615" w:hRule="atLeast"/>
        </w:trPr>
        <w:tc>
          <w:tcPr>
            <w:tcW w:w="957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before="0" w:after="0"/>
              <w:ind w:hanging="0" w:start="-113" w:end="113"/>
              <w:jc w:val="star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о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т 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19.01.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2026                                          п.г.т. Тугулым                                                         № 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10</w:t>
            </w:r>
          </w:p>
        </w:tc>
      </w:tr>
    </w:tbl>
    <w:p>
      <w:pPr>
        <w:pStyle w:val="Normal"/>
        <w:spacing w:before="0" w:after="0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spacing w:beforeAutospacing="0" w:before="0" w:afterAutospacing="0" w:after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Об утверждении </w:t>
      </w:r>
      <w:bookmarkStart w:id="1" w:name="_Hlk219380764"/>
      <w:r>
        <w:rPr>
          <w:rFonts w:ascii="Liberation Serif" w:hAnsi="Liberation Serif"/>
          <w:b/>
          <w:sz w:val="24"/>
          <w:szCs w:val="24"/>
        </w:rPr>
        <w:t xml:space="preserve">Плана мероприятий по реализации Стратегии </w:t>
      </w:r>
    </w:p>
    <w:p>
      <w:pPr>
        <w:pStyle w:val="Normal"/>
        <w:spacing w:beforeAutospacing="0" w:before="0" w:afterAutospacing="0" w:after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противодействия экстремизму в Российской Федерации </w:t>
      </w:r>
    </w:p>
    <w:p>
      <w:pPr>
        <w:pStyle w:val="Normal"/>
        <w:spacing w:beforeAutospacing="0" w:before="0" w:afterAutospacing="0" w:after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на территории Тугулымского муниципального округа на 2026-2027 годы</w:t>
      </w:r>
      <w:bookmarkEnd w:id="1"/>
    </w:p>
    <w:p>
      <w:pPr>
        <w:pStyle w:val="Normal"/>
        <w:spacing w:beforeAutospacing="0" w:before="0" w:afterAutospacing="0" w:after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spacing w:beforeAutospacing="0" w:before="0" w:afterAutospacing="0" w:after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beforeAutospacing="0" w:before="0" w:afterAutospacing="0" w:after="0"/>
        <w:ind w:firstLine="539"/>
        <w:jc w:val="both"/>
        <w:outlineLvl w:val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ab/>
        <w:t>В соответствии с Указом Президента Российской Федерации от 28 декабря 2024 года N 1124 «Об утверждении Стратегии противодействия экстремизму в Российской Федерации», Федеральным законом от 06 октября 2003 года N 131-ФЗ «Об общих принципах организации местного самоуправления в Российской Федерации», Федеральным законом от 25 июля 2002 года N 114 «О противодействии экстремистской деятельности», руководствуясь Уставом Тугулымского муниципального округа, администрация Тугулымского муниципального округа</w:t>
      </w:r>
    </w:p>
    <w:p>
      <w:pPr>
        <w:pStyle w:val="Normal"/>
        <w:numPr>
          <w:ilvl w:val="0"/>
          <w:numId w:val="0"/>
        </w:numPr>
        <w:spacing w:beforeAutospacing="0" w:before="0" w:afterAutospacing="0" w:after="0"/>
        <w:jc w:val="both"/>
        <w:outlineLvl w:val="0"/>
        <w:rPr>
          <w:rFonts w:ascii="Liberation Serif" w:hAnsi="Liberation Serif"/>
          <w:b/>
          <w:sz w:val="28"/>
        </w:rPr>
      </w:pPr>
      <w:r>
        <w:rPr>
          <w:rFonts w:ascii="Liberation Serif" w:hAnsi="Liberation Serif"/>
          <w:b/>
          <w:sz w:val="28"/>
        </w:rPr>
      </w:r>
    </w:p>
    <w:p>
      <w:pPr>
        <w:pStyle w:val="Normal"/>
        <w:numPr>
          <w:ilvl w:val="0"/>
          <w:numId w:val="0"/>
        </w:numPr>
        <w:spacing w:beforeAutospacing="0" w:before="0" w:afterAutospacing="0" w:after="0"/>
        <w:jc w:val="both"/>
        <w:outlineLvl w:val="0"/>
        <w:rPr>
          <w:rFonts w:ascii="Liberation Serif" w:hAnsi="Liberation Serif"/>
        </w:rPr>
      </w:pPr>
      <w:r>
        <w:rPr>
          <w:rFonts w:ascii="Liberation Serif" w:hAnsi="Liberation Serif"/>
          <w:b/>
          <w:sz w:val="28"/>
        </w:rPr>
        <w:t>ПОСТАНОВЛЯЕТ:</w:t>
      </w:r>
    </w:p>
    <w:p>
      <w:pPr>
        <w:pStyle w:val="Normal"/>
        <w:numPr>
          <w:ilvl w:val="0"/>
          <w:numId w:val="0"/>
        </w:numPr>
        <w:spacing w:beforeAutospacing="0" w:before="0" w:afterAutospacing="0" w:after="0"/>
        <w:jc w:val="both"/>
        <w:outlineLvl w:val="0"/>
        <w:rPr>
          <w:rFonts w:ascii="Liberation Serif" w:hAnsi="Liberation Serif"/>
          <w:b/>
          <w:sz w:val="28"/>
        </w:rPr>
      </w:pPr>
      <w:r>
        <w:rPr>
          <w:rFonts w:ascii="Liberation Serif" w:hAnsi="Liberation Serif"/>
          <w:b/>
          <w:sz w:val="28"/>
        </w:rPr>
      </w:r>
    </w:p>
    <w:p>
      <w:pPr>
        <w:pStyle w:val="Normal"/>
        <w:numPr>
          <w:ilvl w:val="0"/>
          <w:numId w:val="0"/>
        </w:numPr>
        <w:spacing w:beforeAutospacing="0" w:before="0" w:afterAutospacing="0" w:after="0"/>
        <w:ind w:firstLine="708"/>
        <w:jc w:val="both"/>
        <w:outlineLvl w:val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1. Утвердить План мероприятий по реализации Стратегии противодействия экстремизму в Российской Федерации на территории Тугулымского муниципального округа на 2026-2027 годы (Приложение № 1).</w:t>
      </w:r>
    </w:p>
    <w:p>
      <w:pPr>
        <w:pStyle w:val="Normal"/>
        <w:spacing w:lineRule="atLeast" w:line="0" w:beforeAutospacing="0" w:before="0" w:afterAutospacing="0" w:after="0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2.   Настоящее постановление вступает в силу после его подписания.</w:t>
      </w:r>
    </w:p>
    <w:p>
      <w:pPr>
        <w:pStyle w:val="Normal"/>
        <w:spacing w:lineRule="atLeast" w:line="0" w:beforeAutospacing="0" w:before="0" w:afterAutospacing="0" w:after="0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3.  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spacing w:lineRule="atLeast" w:line="0" w:beforeAutospacing="0" w:before="0" w:afterAutospacing="0" w:after="0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ab/>
        <w:t xml:space="preserve">4.   Контроль исполнения настоящего постановления возложить на заместителя главы Тугулымского муниципального округа Калунину М.О.     </w:t>
      </w:r>
    </w:p>
    <w:p>
      <w:pPr>
        <w:pStyle w:val="Normal"/>
        <w:spacing w:lineRule="atLeast" w:line="0" w:beforeAutospacing="0" w:before="0" w:afterAutospacing="0" w:after="0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>
      <w:pPr>
        <w:pStyle w:val="Normal"/>
        <w:spacing w:lineRule="atLeast" w:line="20" w:beforeAutospacing="0" w:before="0" w:afterAutospacing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tLeast" w:line="20" w:beforeAutospacing="0" w:before="0" w:afterAutospacing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tLeast" w:line="20" w:beforeAutospacing="0" w:before="0" w:afterAutospacing="0" w:after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Глава </w:t>
      </w:r>
    </w:p>
    <w:p>
      <w:pPr>
        <w:sectPr>
          <w:headerReference w:type="even" r:id="rId3"/>
          <w:headerReference w:type="default" r:id="rId4"/>
          <w:headerReference w:type="first" r:id="rId5"/>
          <w:type w:val="nextPage"/>
          <w:pgSz w:w="11906" w:h="16838"/>
          <w:pgMar w:left="1418" w:right="851" w:gutter="0" w:header="0" w:top="851" w:footer="0" w:bottom="851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tLeast" w:line="20" w:beforeAutospacing="0" w:before="0" w:afterAutospacing="0" w:after="28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</w:t>
        <w:tab/>
        <w:t xml:space="preserve">   </w:t>
        <w:tab/>
        <w:t xml:space="preserve">                                                   А.Н. Поздеев      </w:t>
      </w:r>
    </w:p>
    <w:p>
      <w:pPr>
        <w:pStyle w:val="Normal"/>
        <w:spacing w:beforeAutospacing="0" w:before="0" w:afterAutospacing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Приложение № 1</w:t>
      </w:r>
    </w:p>
    <w:p>
      <w:pPr>
        <w:pStyle w:val="Normal"/>
        <w:spacing w:beforeAutospacing="0" w:before="0" w:afterAutospacing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к постановлению администрации</w:t>
      </w:r>
    </w:p>
    <w:p>
      <w:pPr>
        <w:pStyle w:val="Normal"/>
        <w:spacing w:beforeAutospacing="0" w:before="0" w:afterAutospacing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spacing w:beforeAutospacing="0" w:before="0" w:afterAutospacing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от </w:t>
      </w:r>
      <w:r>
        <w:rPr>
          <w:rFonts w:ascii="Liberation Serif" w:hAnsi="Liberation Serif"/>
          <w:sz w:val="24"/>
          <w:szCs w:val="24"/>
        </w:rPr>
        <w:t>19.01.2026</w:t>
      </w:r>
      <w:r>
        <w:rPr>
          <w:rFonts w:ascii="Liberation Serif" w:hAnsi="Liberation Serif"/>
          <w:sz w:val="24"/>
          <w:szCs w:val="24"/>
        </w:rPr>
        <w:t xml:space="preserve"> № </w:t>
      </w:r>
      <w:r>
        <w:rPr>
          <w:rFonts w:ascii="Liberation Serif" w:hAnsi="Liberation Serif"/>
          <w:sz w:val="24"/>
          <w:szCs w:val="24"/>
        </w:rPr>
        <w:t>10</w:t>
      </w:r>
      <w:r>
        <w:rPr>
          <w:rFonts w:ascii="Liberation Serif" w:hAnsi="Liberation Serif"/>
          <w:sz w:val="24"/>
          <w:szCs w:val="24"/>
        </w:rPr>
        <w:t xml:space="preserve">    </w:t>
      </w:r>
    </w:p>
    <w:p>
      <w:pPr>
        <w:pStyle w:val="Normal"/>
        <w:spacing w:before="280" w:after="280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100" w:after="100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spacing w:before="280" w:after="280"/>
        <w:rPr>
          <w:sz w:val="28"/>
        </w:rPr>
      </w:pPr>
      <w:r>
        <w:rPr>
          <w:sz w:val="28"/>
        </w:rPr>
      </w:r>
    </w:p>
    <w:p>
      <w:pPr>
        <w:pStyle w:val="Normal"/>
        <w:spacing w:before="280" w:after="280"/>
        <w:rPr>
          <w:sz w:val="28"/>
        </w:rPr>
      </w:pPr>
      <w:r>
        <w:rPr>
          <w:sz w:val="28"/>
        </w:rPr>
      </w:r>
      <w:bookmarkStart w:id="2" w:name="_Hlk204677620"/>
      <w:bookmarkStart w:id="3" w:name="_Hlk204677620"/>
      <w:bookmarkEnd w:id="3"/>
    </w:p>
    <w:p>
      <w:pPr>
        <w:pStyle w:val="Normal"/>
        <w:spacing w:before="280" w:after="280"/>
        <w:rPr>
          <w:sz w:val="28"/>
        </w:rPr>
      </w:pPr>
      <w:r>
        <w:rPr>
          <w:sz w:val="28"/>
        </w:rPr>
      </w:r>
      <w:bookmarkStart w:id="4" w:name="_Hlk204677620"/>
      <w:bookmarkStart w:id="5" w:name="_Hlk204677620"/>
      <w:bookmarkEnd w:id="5"/>
    </w:p>
    <w:p>
      <w:pPr>
        <w:pStyle w:val="Normal"/>
        <w:spacing w:lineRule="auto" w:line="240" w:before="109" w:after="109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План мероприятий </w:t>
      </w:r>
    </w:p>
    <w:p>
      <w:pPr>
        <w:pStyle w:val="Normal"/>
        <w:spacing w:lineRule="auto" w:line="240" w:before="52" w:after="52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по реализации Стратегии противодействия экстремизму в Российской Федерации </w:t>
      </w:r>
    </w:p>
    <w:p>
      <w:pPr>
        <w:pStyle w:val="Normal"/>
        <w:spacing w:lineRule="auto" w:line="240" w:before="52" w:after="52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на территории Тугулымского муниципального округа на 2026-2027 годы</w:t>
      </w:r>
    </w:p>
    <w:p>
      <w:pPr>
        <w:pStyle w:val="Normal"/>
        <w:spacing w:before="280" w:after="280"/>
        <w:jc w:val="both"/>
        <w:rPr/>
      </w:pPr>
      <w:r>
        <w:rPr/>
      </w:r>
    </w:p>
    <w:p>
      <w:pPr>
        <w:pStyle w:val="Normal"/>
        <w:spacing w:before="280" w:after="280"/>
        <w:jc w:val="both"/>
        <w:rPr/>
      </w:pPr>
      <w:r>
        <w:rPr/>
      </w:r>
    </w:p>
    <w:p>
      <w:pPr>
        <w:pStyle w:val="Normal"/>
        <w:spacing w:before="280" w:after="280"/>
        <w:jc w:val="both"/>
        <w:rPr/>
      </w:pPr>
      <w:r>
        <w:rPr/>
      </w:r>
    </w:p>
    <w:p>
      <w:pPr>
        <w:pStyle w:val="Normal"/>
        <w:spacing w:before="280" w:after="280"/>
        <w:jc w:val="both"/>
        <w:rPr/>
      </w:pPr>
      <w:r>
        <w:rPr/>
      </w:r>
    </w:p>
    <w:p>
      <w:pPr>
        <w:pStyle w:val="Normal"/>
        <w:spacing w:before="280" w:after="280"/>
        <w:jc w:val="both"/>
        <w:rPr/>
      </w:pPr>
      <w:r>
        <w:rPr/>
      </w:r>
    </w:p>
    <w:p>
      <w:pPr>
        <w:pStyle w:val="Normal"/>
        <w:spacing w:before="280" w:after="280"/>
        <w:jc w:val="both"/>
        <w:rPr/>
      </w:pPr>
      <w:r>
        <w:rPr/>
      </w:r>
    </w:p>
    <w:p>
      <w:pPr>
        <w:pStyle w:val="Normal"/>
        <w:spacing w:before="280" w:after="280"/>
        <w:jc w:val="both"/>
        <w:rPr/>
      </w:pPr>
      <w:r>
        <w:rPr/>
      </w:r>
    </w:p>
    <w:p>
      <w:pPr>
        <w:pStyle w:val="Normal"/>
        <w:spacing w:before="100" w:after="10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br w:type="textWrapping" w:clear="all"/>
      </w:r>
    </w:p>
    <w:tbl>
      <w:tblPr>
        <w:tblW w:w="15130" w:type="dxa"/>
        <w:jc w:val="start"/>
        <w:tblInd w:w="0" w:type="dxa"/>
        <w:tblLayout w:type="fixed"/>
        <w:tblCellMar>
          <w:top w:w="102" w:type="dxa"/>
          <w:start w:w="62" w:type="dxa"/>
          <w:bottom w:w="102" w:type="dxa"/>
          <w:end w:w="62" w:type="dxa"/>
        </w:tblCellMar>
        <w:tblLook w:val="04a0" w:noHBand="0" w:noVBand="1" w:firstColumn="1" w:lastRow="0" w:lastColumn="0" w:firstRow="1"/>
      </w:tblPr>
      <w:tblGrid>
        <w:gridCol w:w="623"/>
        <w:gridCol w:w="7594"/>
        <w:gridCol w:w="4362"/>
        <w:gridCol w:w="2551"/>
      </w:tblGrid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N п/п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Мероприятие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Период исполнения</w:t>
            </w:r>
          </w:p>
        </w:tc>
      </w:tr>
      <w:tr>
        <w:trPr/>
        <w:tc>
          <w:tcPr>
            <w:tcW w:w="151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before="0" w:after="0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I. В сфере законодательной деятельности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Подготовка и принятие муниципальных программ (планов) по профилактике экстремизма с последующим контролем хода их реализации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 мере истечения срока действия программных документов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Формирование состава межведомственной комиссии по профилактике экстремизма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ГОЧС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</w:tr>
      <w:tr>
        <w:trPr/>
        <w:tc>
          <w:tcPr>
            <w:tcW w:w="151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before="0" w:after="0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II. В сфере правоохранительной деятельности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28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Мониторинг внешнего вида зданий и сооружений на территории муниципального образования с целью выявления фактов нанесения на объекты муниципальной собственности или иные здания и сооружения:</w:t>
            </w:r>
          </w:p>
          <w:p>
            <w:pPr>
              <w:pStyle w:val="Normal"/>
              <w:spacing w:before="280" w:after="28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нацистской атрибутики или символики либо атрибутики, сходной с нацистской атрибутикой или символикой;</w:t>
            </w:r>
          </w:p>
          <w:p>
            <w:pPr>
              <w:pStyle w:val="Normal"/>
              <w:spacing w:before="280" w:after="28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символики экстремистских организаций;</w:t>
            </w:r>
          </w:p>
          <w:p>
            <w:pPr>
              <w:pStyle w:val="Normal"/>
              <w:spacing w:before="28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атрибутики или символики, надписей или изображений, способствующих возникновению или обострению межнациональных, межконфессиональных и общественно-политических конфликтов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28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before="280" w:after="28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Муниципальное казенно учреждение  «Административно-хозяйственное управление  Тугулымского муниципального округа» (далее – МКУ «АХУ ТМО»), руководители муниципальных учреждений, ОМВД России «Тугулымский»</w:t>
            </w:r>
          </w:p>
          <w:p>
            <w:pPr>
              <w:pStyle w:val="Normal"/>
              <w:spacing w:before="280" w:after="28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before="28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профилактической работы с лицами, подверженными влиянию экстремистской идеологии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ОМВД России "Тугулымский", Управление образования Тугулымского муниципального округа (далее - Управление образования)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Предоставление территориальным правоохранительным органам (органы внутренних дел, органы безопасности, органы прокуратуры) возможности размещения на официальных сайтах и страницах в социальных сетях администрации Тугулымского муниципального округа компетентной информации о результатах деятельности в сфере противодействия экстремизма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 мере необходимости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Доведение сведений до правоохранительных органов о выявлении организаций и физических лиц, причастных к экстремистской деятельности или терроризму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При выявлении</w:t>
            </w:r>
          </w:p>
        </w:tc>
      </w:tr>
      <w:tr>
        <w:trPr/>
        <w:tc>
          <w:tcPr>
            <w:tcW w:w="151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before="0" w:after="0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III. В сфере государственной национальной политики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мониторинга межнациональных (межэтнических) и межконфессиональных отношений, общественно-политической и социально-экономической обстановки на территории муниципального округа в целях предотвращения возникновения или обострения межнациональных (межэтнических) и межконфессиональных конфликтов, а также выявления причин и условий для экстремистских проявлений и минимизации последствий таких проявлений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Предотвращение любых форм дискриминации по признакам социальной расовой национальной (этнической), языковой идеологической или религиозной принадлежности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округа, муниципальные учреждения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Содействие религиозным организациям традиционных религий России и национально-культурным объединениям в проведении религиозных и народных праздников, имеющих широкое распространение в культуре населения муниципального образования (Православная Пасха, Православное Рождество Христово, День Крещения Руси, Ураза-Байрам, Курбан-Байрам, Масленица и т.д.)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культуры администрации Тугулымского муниципального округа (далее – отдел культуры)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 мере необходимости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Взаимодействие с традиционными религиозными организациями, общественными и национально-культурными объединениями в проведении мероприятий, направленных на профилактику экстремистских проявлений и конфликтных ситуаций в этноконфессиональной сфере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образования, отдел культуры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 мере необходимости</w:t>
            </w:r>
          </w:p>
        </w:tc>
      </w:tr>
      <w:tr>
        <w:trPr/>
        <w:tc>
          <w:tcPr>
            <w:tcW w:w="151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before="0" w:after="0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IV. В сфере государственной миграционной политики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и проведение семинаров с работодателями, использующими труд мигрантов по вопросам профилактики экстремистских проявлений и конфликтных ситуаций на этноконфессиональной почве в среде мигрантов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округа, ОМВД России «Тугулымский»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Разработка и издание информационно-справочных материалов, адресованных мигрантам, находящимся на территории муниципального образования, содержащих сведения о законодательстве Российской Федерации в сфере миграции, культурных особенностях и нормах поведения, рабочих местах и вакансиях на территории муниципального образования и т.д.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округа, ОМВД России «Тугулымский»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Всестороннее освещение мер, принимаемых в сфере реализации государственной национальной политики Российской Федерации на федеральном, региональном и муниципальном уровнях в целях гармонизации межнациональных (межэтнических) и межконфессиональных отношений, а также в целях снижения ксенофобии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округа, ОМВД России «Тугулымский»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ежеквартально</w:t>
            </w:r>
          </w:p>
        </w:tc>
      </w:tr>
      <w:tr>
        <w:trPr/>
        <w:tc>
          <w:tcPr>
            <w:tcW w:w="151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before="0" w:after="0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V. В сфере государственной информационной политики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периодических публикаций и тематических сюжетов в средствах массовой информации и социальных сетях, направленных на профилактику экстремистских проявлений и конфликтных ситуаций на этноконфессиональной почве, в том числе среди подростков и молодежи, освещающих традиции народов России и религиозную культуру традиционных религий России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округа, ОМВД России «Тугулымский», Управление образования, отдел культуры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системного мониторинга средств массовой информации и информационно-телекоммуникационной сети "Интернет" в целях пресечения распространения материалов экстремистского характера, а также призывов к массовым беспорядкам, участию в несанкционированных публичных мероприятиях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округа, МКУ «АХУ ТМО», ОМВД России «Тугулымский»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Подготовка и размещение в средствах массовой информации и информационно-телекоммуникационной сети  "Интернет", социальной рекламы, направленной на патриотическое воспитание молодежи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округа, МКУ «АХУ ТМО»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Подготовка и распространение информационных материалов, о предупреждении и пресечении экстремистской деятельности, ориентированных на повышение бдительности российских граждан, возникновение у них заинтересованности в противодействии экстремизму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округа, ОМВД России «Тугулымский»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Информирование граждан о деятельности субъектов противодействия экстремизму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151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before="0" w:after="0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VI. В сфере образования и государственной молодежной политики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Организация и проведение конференций и семинаров для педагогов образовательных организаций, с участием лидеров и активистов молодежных общественных, религиозных и национально-культурных организаций, по вопросам профилактики экстремизма, противодействия распространению идеологии терроризма, гармонизации межнациональных и межконфессиональных отношений 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образования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согласно утвержденному плану мероприятий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и проведение обучающих семинаров и повышения квалификации для преподавателей дисциплин "Основы духовно-нравственных культур народов России" и "Основы религиозной культуры и светской этики" в образовательных организациях общего образования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 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и проведение контроля в образовательных организациях эффективности контент-фильтров, препятствующих доступу к интернет-сайтам, содержащим экстремистскую и иную информацию, причиняющую вред здоровью и развитию детей и подростков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 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и проведение спортивно-развлекательных мероприятий этнокультурной направленности, направленных на формирование межнациональных мира и дружбы с участием детей, подростков и молодежи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образования, отдел по физической культуре, спорту и молодежной политике администрации Тугулымского муниципального округа, МКУ «Спорт для всех»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согласно утвержденному плану мероприятий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мониторинга социальной обстановки в образовательных организациях, а также изучение молодежных субкультур в целях своевременного выявления и недопущения распространения экстремистской идеологии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 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временной занятости подростков в свободное от учебы время, в том числе связанной с благоустройством воинских захоронений, мемориалов, памятников и обелисков воинской славы; с оказанием социальной помощи ветеранам Великой Отечественной войны, войны в Афганистане, в Сирийской Арабской Республике, специальной военной операции и других военных конфликтов, семьям погибших воинов; с осуществлением шефства над лицами, нуждающимися в медицинской и (или) социальной реабилитации, паллиативной медицинской помощи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 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Вовлечение молодежи в реализацию программ и форумов по сохранению российской культуры, исторического наследия народов страны в целях укрепления связей между поколениями и профилактики конфликтов на национальной и религиозной основе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 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Обеспечение участия молодежи в деятельности поисковых, археологических, военно-исторических, краеведческих, студенческих трудовых отрядов молодежных объединений патриотической направленности, волонтерского движения в целях профилактики экстремистских проявлений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 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9.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досуга молодежи, создание условий для реализации творческого и спортивного потенциала, культурного развития молодежи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образования, отдел по физической культуре, спорту и молодежной политике администрации Тугулымского муниципального округа, МКУ «Спорт для всех»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Реализация адаптационных программ для иностранных граждан, прибывших на территорию муниципального образования для обучения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 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Разработка и реализация индивидуальных программ социально-педагогического сопровождения обучающихся "группы риска", проведение профилактических мероприятий с обучающимися образовательных организаций, подверженными влиянию экстремистской идеологии, и членами их семей, с привлечением к указанной работе представителей религиозных, общественных и спортивных организаций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 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151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before="0" w:after="0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VII. В сфере государственной культурной политики</w:t>
            </w:r>
          </w:p>
        </w:tc>
      </w:tr>
      <w:tr>
        <w:trPr>
          <w:trHeight w:val="855" w:hRule="atLeast"/>
        </w:trPr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и проведение ревизии библиотечного фонда с целью выявления литературы, запрещенной или ограниченной для распространения, в том числе среди детей и подростков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образования, отдел культуры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и проведения культурных и исторических мероприятий антиэкстремистской направленности (митингов, собраний, концертов, выставок, бесед и т.п.), в том числе в рамках мероприятий, посвященных государственным, национальным и конфессиональным праздникам и памятным датам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культуры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согласно утвержденному плану мероприятий</w:t>
            </w:r>
          </w:p>
        </w:tc>
      </w:tr>
      <w:tr>
        <w:trPr/>
        <w:tc>
          <w:tcPr>
            <w:tcW w:w="151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before="0" w:after="0"/>
              <w:jc w:val="center"/>
              <w:outlineLvl w:val="1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VIII. Мероприятия по социальной и культурной адаптации иностранных граждан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Предоставление мигрантам услуг в области занятости населения в части содействия в поиске подходящей работы, организации профессиональной ориентации граждан в целях выбора сферы деятельности (профессии), трудоустройства, информирования о положении на рынке труда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Государственное казенное учреждение службы занятости населения Свердловской области «Тугулымский центр занятости»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Проведение информационно-консультативной работы по разъяснению порядка приема мигрантов на обучение по общеобразовательным программам 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 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Привлечение работодателей к участию в мероприятиях по вопросам межэтнического согласия, социальной и культурной адаптации работающих иностранных граждан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Администрация Тугулымского муниципального округа 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  <w:tr>
        <w:trPr/>
        <w:tc>
          <w:tcPr>
            <w:tcW w:w="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75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программ социальной и культурной адаптации иностранных граждан, их интеграции в общество</w:t>
            </w:r>
          </w:p>
        </w:tc>
        <w:tc>
          <w:tcPr>
            <w:tcW w:w="43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округа, ОМВД России «Тугулымский», Управление образования, отдел культуры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постоянно</w:t>
            </w:r>
          </w:p>
        </w:tc>
      </w:tr>
    </w:tbl>
    <w:p>
      <w:pPr>
        <w:pStyle w:val="Normal"/>
        <w:spacing w:before="280" w:after="28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headerReference w:type="even" r:id="rId6"/>
      <w:headerReference w:type="default" r:id="rId7"/>
      <w:headerReference w:type="first" r:id="rId8"/>
      <w:footerReference w:type="even" r:id="rId9"/>
      <w:footerReference w:type="default" r:id="rId10"/>
      <w:footerReference w:type="first" r:id="rId11"/>
      <w:type w:val="nextPage"/>
      <w:pgSz w:orient="landscape" w:w="16838" w:h="11906"/>
      <w:pgMar w:left="851" w:right="851" w:gutter="0" w:header="709" w:top="766" w:footer="709" w:bottom="766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XO Thames">
    <w:charset w:val="01" w:characterSet="utf-8"/>
    <w:family w:val="roman"/>
    <w:pitch w:val="variable"/>
  </w:font>
  <w:font w:name="Courier New"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Cambria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280" w:after="28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280" w:after="28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280" w:after="28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80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 wp14:anchorId="20CA532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2400" cy="635"/>
              <wp:effectExtent l="0" t="0" r="0" b="0"/>
              <wp:wrapSquare wrapText="bothSides"/>
              <wp:docPr id="2" name="Picture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8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Picture 1" path="m0,0l-2147483645,0l-2147483645,-2147483646l0,-2147483646xe" stroked="f" o:allowincell="f" style="position:absolute;margin-left:0pt;margin-top:0.05pt;width:11.95pt;height:0pt;mso-wrap-style:square;v-text-anchor:top;mso-position-horizontal:right;mso-position-horizontal-relative:margin" wp14:anchorId="20CA5327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8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80"/>
      <w:ind w:end="36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80"/>
      <w:ind w:end="360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80" w:after="280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80" w:after="80"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 PAGE </w:instrText>
    </w:r>
    <w:r>
      <w:rPr>
        <w:sz w:val="28"/>
      </w:rPr>
      <w:fldChar w:fldCharType="separate"/>
    </w:r>
    <w:r>
      <w:rPr>
        <w:sz w:val="28"/>
      </w:rPr>
      <w:t>9</w:t>
    </w:r>
    <w:r>
      <w:rPr>
        <w:sz w:val="28"/>
      </w:rPr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80" w:after="28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color w:val="000000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link w:val="21"/>
    <w:qFormat/>
    <w:rsid w:val="00707b07"/>
    <w:pPr>
      <w:widowControl/>
      <w:suppressAutoHyphens w:val="false"/>
      <w:bidi w:val="0"/>
      <w:spacing w:beforeAutospacing="1" w:afterAutospacing="1"/>
      <w:jc w:val="star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pPr>
      <w:keepNext w:val="true"/>
      <w:jc w:val="center"/>
      <w:outlineLvl w:val="0"/>
    </w:pPr>
    <w:rPr>
      <w:b/>
      <w:sz w:val="36"/>
    </w:rPr>
  </w:style>
  <w:style w:type="paragraph" w:styleId="Heading2">
    <w:name w:val="heading 2"/>
    <w:next w:val="Normal"/>
    <w:link w:val="22"/>
    <w:uiPriority w:val="9"/>
    <w:qFormat/>
    <w:pPr>
      <w:widowControl/>
      <w:bidi w:val="0"/>
      <w:spacing w:before="120" w:after="120"/>
      <w:jc w:val="both"/>
      <w:outlineLvl w:val="1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Heading3">
    <w:name w:val="heading 3"/>
    <w:next w:val="Normal"/>
    <w:link w:val="3"/>
    <w:uiPriority w:val="9"/>
    <w:qFormat/>
    <w:pPr>
      <w:widowControl/>
      <w:bidi w:val="0"/>
      <w:spacing w:before="120" w:after="120"/>
      <w:jc w:val="both"/>
      <w:outlineLvl w:val="2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Heading4">
    <w:name w:val="heading 4"/>
    <w:next w:val="Normal"/>
    <w:link w:val="41"/>
    <w:uiPriority w:val="9"/>
    <w:qFormat/>
    <w:pPr>
      <w:widowControl/>
      <w:bidi w:val="0"/>
      <w:spacing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Heading5">
    <w:name w:val="heading 5"/>
    <w:next w:val="Normal"/>
    <w:link w:val="5"/>
    <w:uiPriority w:val="9"/>
    <w:qFormat/>
    <w:pPr>
      <w:widowControl/>
      <w:bidi w:val="0"/>
      <w:spacing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1" w:customStyle="1">
    <w:name w:val="Обычный1"/>
    <w:qFormat/>
    <w:rPr>
      <w:sz w:val="24"/>
    </w:rPr>
  </w:style>
  <w:style w:type="character" w:styleId="2" w:customStyle="1">
    <w:name w:val="Оглавление 2 Знак"/>
    <w:qFormat/>
    <w:rPr>
      <w:rFonts w:ascii="XO Thames" w:hAnsi="XO Thames"/>
      <w:sz w:val="28"/>
    </w:rPr>
  </w:style>
  <w:style w:type="character" w:styleId="4" w:customStyle="1">
    <w:name w:val="Оглавление 4 Знак"/>
    <w:qFormat/>
    <w:rPr>
      <w:rFonts w:ascii="XO Thames" w:hAnsi="XO Thames"/>
      <w:sz w:val="28"/>
    </w:rPr>
  </w:style>
  <w:style w:type="character" w:styleId="ConsPlusNonformat" w:customStyle="1">
    <w:name w:val="ConsPlusNonformat"/>
    <w:link w:val="ConsPlusNonformat1"/>
    <w:qFormat/>
    <w:rPr>
      <w:rFonts w:ascii="Courier New" w:hAnsi="Courier New"/>
    </w:rPr>
  </w:style>
  <w:style w:type="character" w:styleId="Style21" w:customStyle="1">
    <w:name w:val="Style2"/>
    <w:basedOn w:val="1"/>
    <w:link w:val="Style211"/>
    <w:qFormat/>
    <w:rPr>
      <w:sz w:val="24"/>
    </w:rPr>
  </w:style>
  <w:style w:type="character" w:styleId="6" w:customStyle="1">
    <w:name w:val="Оглавление 6 Знак"/>
    <w:qFormat/>
    <w:rPr>
      <w:rFonts w:ascii="XO Thames" w:hAnsi="XO Thames"/>
      <w:sz w:val="28"/>
    </w:rPr>
  </w:style>
  <w:style w:type="character" w:styleId="7" w:customStyle="1">
    <w:name w:val="Оглавление 7 Знак"/>
    <w:qFormat/>
    <w:rPr>
      <w:rFonts w:ascii="XO Thames" w:hAnsi="XO Thames"/>
      <w:sz w:val="28"/>
    </w:rPr>
  </w:style>
  <w:style w:type="character" w:styleId="1-1" w:customStyle="1">
    <w:name w:val="Заголовок 1- нумерованный Знак Знак Знак1 Знак Знак Знак Знак Знак Знак Знак Знак Знак Знак"/>
    <w:basedOn w:val="1"/>
    <w:link w:val="1-11"/>
    <w:qFormat/>
    <w:rPr>
      <w:b/>
      <w:i/>
      <w:sz w:val="28"/>
    </w:rPr>
  </w:style>
  <w:style w:type="character" w:styleId="Endnote" w:customStyle="1">
    <w:name w:val="Endnote"/>
    <w:link w:val="Endnote1"/>
    <w:qFormat/>
    <w:rPr>
      <w:rFonts w:ascii="XO Thames" w:hAnsi="XO Thames"/>
      <w:sz w:val="22"/>
    </w:rPr>
  </w:style>
  <w:style w:type="character" w:styleId="3" w:customStyle="1">
    <w:name w:val="Заголовок 3 Знак"/>
    <w:qFormat/>
    <w:rPr>
      <w:rFonts w:ascii="XO Thames" w:hAnsi="XO Thames"/>
      <w:b/>
      <w:sz w:val="26"/>
    </w:rPr>
  </w:style>
  <w:style w:type="character" w:styleId="FontStyle13" w:customStyle="1">
    <w:name w:val="Font Style13"/>
    <w:link w:val="FontStyle131"/>
    <w:qFormat/>
    <w:rPr>
      <w:rFonts w:ascii="Times New Roman" w:hAnsi="Times New Roman"/>
      <w:b/>
      <w:sz w:val="24"/>
    </w:rPr>
  </w:style>
  <w:style w:type="character" w:styleId="Style9" w:customStyle="1">
    <w:name w:val="Абзац списка Знак"/>
    <w:basedOn w:val="1"/>
    <w:link w:val="ListParagraph"/>
    <w:qFormat/>
    <w:rPr>
      <w:rFonts w:ascii="Calibri" w:hAnsi="Calibri"/>
      <w:sz w:val="22"/>
    </w:rPr>
  </w:style>
  <w:style w:type="character" w:styleId="Style10" w:customStyle="1">
    <w:name w:val="Без интервала Знак"/>
    <w:link w:val="NoSpacing"/>
    <w:qFormat/>
    <w:rPr>
      <w:rFonts w:ascii="Calibri" w:hAnsi="Calibri"/>
      <w:sz w:val="22"/>
    </w:rPr>
  </w:style>
  <w:style w:type="character" w:styleId="31" w:customStyle="1">
    <w:name w:val="Оглавление 3 Знак"/>
    <w:qFormat/>
    <w:rPr>
      <w:rFonts w:ascii="XO Thames" w:hAnsi="XO Thames"/>
      <w:sz w:val="28"/>
    </w:rPr>
  </w:style>
  <w:style w:type="character" w:styleId="FontStyle19" w:customStyle="1">
    <w:name w:val="Font Style19"/>
    <w:link w:val="FontStyle191"/>
    <w:qFormat/>
    <w:rPr>
      <w:rFonts w:ascii="Times New Roman" w:hAnsi="Times New Roman"/>
      <w:sz w:val="24"/>
    </w:rPr>
  </w:style>
  <w:style w:type="character" w:styleId="ConsPlusNormal" w:customStyle="1">
    <w:name w:val="ConsPlusNormal"/>
    <w:link w:val="ConsPlusNormal1"/>
    <w:qFormat/>
    <w:rPr>
      <w:rFonts w:ascii="Arial" w:hAnsi="Arial"/>
    </w:rPr>
  </w:style>
  <w:style w:type="character" w:styleId="Style11" w:customStyle="1">
    <w:name w:val="Знак Знак Знак Знак"/>
    <w:basedOn w:val="1"/>
    <w:link w:val="15"/>
    <w:qFormat/>
    <w:rPr>
      <w:rFonts w:ascii="Tahoma" w:hAnsi="Tahoma"/>
      <w:sz w:val="20"/>
    </w:rPr>
  </w:style>
  <w:style w:type="character" w:styleId="FontStyle17" w:customStyle="1">
    <w:name w:val="Font Style17"/>
    <w:link w:val="FontStyle171"/>
    <w:qFormat/>
    <w:rPr>
      <w:rFonts w:ascii="Times New Roman" w:hAnsi="Times New Roman"/>
      <w:b/>
      <w:sz w:val="24"/>
    </w:rPr>
  </w:style>
  <w:style w:type="character" w:styleId="5" w:customStyle="1">
    <w:name w:val="Заголовок 5 Знак"/>
    <w:qFormat/>
    <w:rPr>
      <w:rFonts w:ascii="XO Thames" w:hAnsi="XO Thames"/>
      <w:b/>
      <w:sz w:val="22"/>
    </w:rPr>
  </w:style>
  <w:style w:type="character" w:styleId="11" w:customStyle="1">
    <w:name w:val="Заголовок 1 Знак"/>
    <w:basedOn w:val="1"/>
    <w:qFormat/>
    <w:rPr>
      <w:b/>
      <w:sz w:val="36"/>
    </w:rPr>
  </w:style>
  <w:style w:type="character" w:styleId="Hyperlink">
    <w:name w:val="Hyperlink"/>
    <w:link w:val="16"/>
    <w:rPr>
      <w:color w:val="0000FF"/>
      <w:u w:val="single"/>
    </w:rPr>
  </w:style>
  <w:style w:type="character" w:styleId="Footnote" w:customStyle="1">
    <w:name w:val="Footnote"/>
    <w:basedOn w:val="1"/>
    <w:link w:val="Footnote1"/>
    <w:qFormat/>
    <w:rPr>
      <w:sz w:val="20"/>
    </w:rPr>
  </w:style>
  <w:style w:type="character" w:styleId="12" w:customStyle="1">
    <w:name w:val="Оглавление 1 Знак"/>
    <w:qFormat/>
    <w:rPr>
      <w:rFonts w:ascii="XO Thames" w:hAnsi="XO Thames"/>
      <w:b/>
      <w:sz w:val="28"/>
    </w:rPr>
  </w:style>
  <w:style w:type="character" w:styleId="Style12" w:customStyle="1">
    <w:name w:val="Нижний колонтитул Знак"/>
    <w:basedOn w:val="1"/>
    <w:uiPriority w:val="99"/>
    <w:qFormat/>
    <w:rPr>
      <w:sz w:val="24"/>
    </w:rPr>
  </w:style>
  <w:style w:type="character" w:styleId="HeaderandFooter" w:customStyle="1">
    <w:name w:val="Header and Footer"/>
    <w:qFormat/>
    <w:rPr>
      <w:rFonts w:ascii="XO Thames" w:hAnsi="XO Thames"/>
      <w:sz w:val="28"/>
    </w:rPr>
  </w:style>
  <w:style w:type="character" w:styleId="Style61" w:customStyle="1">
    <w:name w:val="Style6"/>
    <w:basedOn w:val="1"/>
    <w:link w:val="Style611"/>
    <w:qFormat/>
    <w:rPr>
      <w:sz w:val="24"/>
    </w:rPr>
  </w:style>
  <w:style w:type="character" w:styleId="9" w:customStyle="1">
    <w:name w:val="Оглавление 9 Знак"/>
    <w:qFormat/>
    <w:rPr>
      <w:rFonts w:ascii="XO Thames" w:hAnsi="XO Thames"/>
      <w:sz w:val="28"/>
    </w:rPr>
  </w:style>
  <w:style w:type="character" w:styleId="ConsPlusTitle" w:customStyle="1">
    <w:name w:val="ConsPlusTitle"/>
    <w:link w:val="ConsPlusTitle1"/>
    <w:qFormat/>
    <w:rPr>
      <w:rFonts w:ascii="Arial" w:hAnsi="Arial"/>
      <w:b/>
    </w:rPr>
  </w:style>
  <w:style w:type="character" w:styleId="Style13" w:customStyle="1">
    <w:name w:val="Текст выноски Знак"/>
    <w:basedOn w:val="1"/>
    <w:link w:val="BalloonText"/>
    <w:uiPriority w:val="99"/>
    <w:qFormat/>
    <w:rPr>
      <w:rFonts w:ascii="Tahoma" w:hAnsi="Tahoma"/>
      <w:sz w:val="16"/>
    </w:rPr>
  </w:style>
  <w:style w:type="character" w:styleId="Style14" w:customStyle="1">
    <w:name w:val="Верхний колонтитул Знак"/>
    <w:basedOn w:val="1"/>
    <w:uiPriority w:val="99"/>
    <w:qFormat/>
    <w:rPr>
      <w:sz w:val="24"/>
    </w:rPr>
  </w:style>
  <w:style w:type="character" w:styleId="8" w:customStyle="1">
    <w:name w:val="Оглавление 8 Знак"/>
    <w:qFormat/>
    <w:rPr>
      <w:rFonts w:ascii="XO Thames" w:hAnsi="XO Thames"/>
      <w:sz w:val="28"/>
    </w:rPr>
  </w:style>
  <w:style w:type="character" w:styleId="CiaeniineeI" w:customStyle="1">
    <w:name w:val="Ciae niinee I Знак"/>
    <w:basedOn w:val="1"/>
    <w:link w:val="CiaeniineeI1"/>
    <w:qFormat/>
    <w:rPr>
      <w:sz w:val="20"/>
      <w:vertAlign w:val="superscript"/>
    </w:rPr>
  </w:style>
  <w:style w:type="character" w:styleId="13" w:customStyle="1">
    <w:name w:val="Название Знак1"/>
    <w:link w:val="111"/>
    <w:qFormat/>
    <w:rPr>
      <w:rFonts w:ascii="Cambria" w:hAnsi="Cambria"/>
      <w:b/>
      <w:sz w:val="32"/>
    </w:rPr>
  </w:style>
  <w:style w:type="character" w:styleId="51" w:customStyle="1">
    <w:name w:val="Оглавление 5 Знак"/>
    <w:qFormat/>
    <w:rPr>
      <w:rFonts w:ascii="XO Thames" w:hAnsi="XO Thames"/>
      <w:sz w:val="28"/>
    </w:rPr>
  </w:style>
  <w:style w:type="character" w:styleId="ConsPlusCell" w:customStyle="1">
    <w:name w:val="ConsPlusCell"/>
    <w:link w:val="ConsPlusCell1"/>
    <w:qFormat/>
    <w:rPr>
      <w:rFonts w:ascii="Courier New" w:hAnsi="Courier New"/>
    </w:rPr>
  </w:style>
  <w:style w:type="character" w:styleId="21" w:customStyle="1">
    <w:name w:val="Обычный2"/>
    <w:basedOn w:val="1"/>
    <w:qFormat/>
    <w:rPr>
      <w:sz w:val="24"/>
    </w:rPr>
  </w:style>
  <w:style w:type="character" w:styleId="PageNumber">
    <w:name w:val="page number"/>
    <w:basedOn w:val="DefaultParagraphFont"/>
    <w:link w:val="18"/>
    <w:rPr/>
  </w:style>
  <w:style w:type="character" w:styleId="14" w:customStyle="1">
    <w:name w:val="Абзац списка1"/>
    <w:basedOn w:val="1"/>
    <w:link w:val="112"/>
    <w:qFormat/>
    <w:rPr>
      <w:rFonts w:ascii="Calibri" w:hAnsi="Calibri"/>
      <w:sz w:val="22"/>
    </w:rPr>
  </w:style>
  <w:style w:type="character" w:styleId="Style15" w:customStyle="1">
    <w:name w:val="Подзаголовок Знак"/>
    <w:qFormat/>
    <w:rPr>
      <w:rFonts w:ascii="XO Thames" w:hAnsi="XO Thames"/>
      <w:i/>
      <w:sz w:val="24"/>
    </w:rPr>
  </w:style>
  <w:style w:type="character" w:styleId="Style16" w:customStyle="1">
    <w:name w:val="Заголовок Знак"/>
    <w:basedOn w:val="1"/>
    <w:qFormat/>
    <w:rPr>
      <w:b/>
      <w:sz w:val="24"/>
    </w:rPr>
  </w:style>
  <w:style w:type="character" w:styleId="41" w:customStyle="1">
    <w:name w:val="Заголовок 4 Знак"/>
    <w:qFormat/>
    <w:rPr>
      <w:rFonts w:ascii="XO Thames" w:hAnsi="XO Thames"/>
      <w:b/>
      <w:sz w:val="24"/>
    </w:rPr>
  </w:style>
  <w:style w:type="character" w:styleId="22" w:customStyle="1">
    <w:name w:val="Заголовок 2 Знак"/>
    <w:qFormat/>
    <w:rPr>
      <w:rFonts w:ascii="XO Thames" w:hAnsi="XO Thames"/>
      <w:b/>
      <w:sz w:val="28"/>
    </w:rPr>
  </w:style>
  <w:style w:type="character" w:styleId="Style17">
    <w:name w:val="Символ сноски"/>
    <w:qFormat/>
    <w:rsid w:val="00d13295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Noto Sans"/>
    </w:rPr>
  </w:style>
  <w:style w:type="paragraph" w:styleId="TOC2">
    <w:name w:val="toc 2"/>
    <w:next w:val="Normal"/>
    <w:link w:val="2"/>
    <w:uiPriority w:val="39"/>
    <w:pPr>
      <w:widowControl/>
      <w:bidi w:val="0"/>
      <w:spacing w:before="0" w:after="0"/>
      <w:ind w:start="2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4">
    <w:name w:val="toc 4"/>
    <w:next w:val="Normal"/>
    <w:link w:val="4"/>
    <w:uiPriority w:val="39"/>
    <w:pPr>
      <w:widowControl/>
      <w:bidi w:val="0"/>
      <w:spacing w:before="0" w:after="0"/>
      <w:ind w:start="6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ConsPlusNonformat1" w:customStyle="1">
    <w:name w:val="ConsPlusNonformat1"/>
    <w:link w:val="ConsPlusNonformat"/>
    <w:qFormat/>
    <w:pPr>
      <w:widowControl w:val="false"/>
      <w:bidi w:val="0"/>
      <w:spacing w:before="0" w:after="0"/>
      <w:jc w:val="start"/>
    </w:pPr>
    <w:rPr>
      <w:rFonts w:ascii="Courier New" w:hAnsi="Courier New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Style211" w:customStyle="1">
    <w:name w:val="Style21"/>
    <w:basedOn w:val="Normal"/>
    <w:link w:val="Style21"/>
    <w:qFormat/>
    <w:pPr>
      <w:widowControl w:val="false"/>
      <w:spacing w:lineRule="exact" w:line="299"/>
      <w:jc w:val="center"/>
    </w:pPr>
    <w:rPr/>
  </w:style>
  <w:style w:type="paragraph" w:styleId="TOC6">
    <w:name w:val="toc 6"/>
    <w:next w:val="Normal"/>
    <w:link w:val="6"/>
    <w:uiPriority w:val="39"/>
    <w:pPr>
      <w:widowControl/>
      <w:bidi w:val="0"/>
      <w:spacing w:before="0" w:after="0"/>
      <w:ind w:start="10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7">
    <w:name w:val="toc 7"/>
    <w:next w:val="Normal"/>
    <w:link w:val="7"/>
    <w:uiPriority w:val="39"/>
    <w:pPr>
      <w:widowControl/>
      <w:bidi w:val="0"/>
      <w:spacing w:before="0" w:after="0"/>
      <w:ind w:start="12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-11" w:customStyle="1">
    <w:name w:val="Заголовок 1- нумерованный Знак Знак Знак1 Знак Знак Знак Знак Знак Знак Знак Знак Знак Знак1"/>
    <w:basedOn w:val="Normal"/>
    <w:link w:val="1-1"/>
    <w:qFormat/>
    <w:pPr>
      <w:widowControl w:val="false"/>
      <w:tabs>
        <w:tab w:val="clear" w:pos="708"/>
        <w:tab w:val="left" w:pos="720" w:leader="none"/>
      </w:tabs>
      <w:spacing w:lineRule="exact" w:line="240" w:before="280" w:after="160"/>
      <w:ind w:hanging="360" w:start="720"/>
      <w:jc w:val="center"/>
    </w:pPr>
    <w:rPr>
      <w:b/>
      <w:i/>
      <w:sz w:val="28"/>
    </w:rPr>
  </w:style>
  <w:style w:type="paragraph" w:styleId="Endnote1" w:customStyle="1">
    <w:name w:val="Endnote1"/>
    <w:link w:val="Endnote"/>
    <w:qFormat/>
    <w:pPr>
      <w:widowControl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FontStyle131" w:customStyle="1">
    <w:name w:val="Font Style131"/>
    <w:link w:val="FontStyle13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ListParagraph">
    <w:name w:val="List Paragraph"/>
    <w:basedOn w:val="Normal"/>
    <w:link w:val="Style9"/>
    <w:qFormat/>
    <w:pPr>
      <w:spacing w:lineRule="auto" w:line="276" w:before="280" w:after="200"/>
      <w:ind w:start="720"/>
    </w:pPr>
    <w:rPr>
      <w:rFonts w:ascii="Calibri" w:hAnsi="Calibri"/>
      <w:sz w:val="22"/>
    </w:rPr>
  </w:style>
  <w:style w:type="paragraph" w:styleId="NoSpacing">
    <w:name w:val="No Spacing"/>
    <w:link w:val="Style10"/>
    <w:qFormat/>
    <w:pPr>
      <w:widowControl/>
      <w:bidi w:val="0"/>
      <w:spacing w:before="0" w:after="0"/>
      <w:jc w:val="start"/>
    </w:pPr>
    <w:rPr>
      <w:rFonts w:ascii="Calibri" w:hAnsi="Calibri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TOC3">
    <w:name w:val="toc 3"/>
    <w:next w:val="Normal"/>
    <w:link w:val="31"/>
    <w:uiPriority w:val="39"/>
    <w:pPr>
      <w:widowControl/>
      <w:bidi w:val="0"/>
      <w:spacing w:before="0" w:after="0"/>
      <w:ind w:start="4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FontStyle191" w:customStyle="1">
    <w:name w:val="Font Style191"/>
    <w:link w:val="FontStyle19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ru-RU" w:eastAsia="ru-RU" w:bidi="ar-SA"/>
    </w:rPr>
  </w:style>
  <w:style w:type="paragraph" w:styleId="ConsPlusNormal1" w:customStyle="1">
    <w:name w:val="ConsPlusNormal1"/>
    <w:link w:val="ConsPlusNormal"/>
    <w:qFormat/>
    <w:pPr>
      <w:widowControl w:val="false"/>
      <w:bidi w:val="0"/>
      <w:spacing w:before="0" w:after="0"/>
      <w:ind w:firstLine="720"/>
      <w:jc w:val="start"/>
    </w:pPr>
    <w:rPr>
      <w:rFonts w:ascii="Arial" w:hAnsi="Arial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5" w:customStyle="1">
    <w:name w:val="Знак Знак Знак Знак1"/>
    <w:basedOn w:val="Normal"/>
    <w:link w:val="Style11"/>
    <w:qFormat/>
    <w:pPr>
      <w:jc w:val="both"/>
    </w:pPr>
    <w:rPr>
      <w:rFonts w:ascii="Tahoma" w:hAnsi="Tahoma"/>
    </w:rPr>
  </w:style>
  <w:style w:type="paragraph" w:styleId="FontStyle171" w:customStyle="1">
    <w:name w:val="Font Style171"/>
    <w:link w:val="FontStyle17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16" w:customStyle="1">
    <w:name w:val="Гиперссылка1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0000FF"/>
      <w:kern w:val="0"/>
      <w:sz w:val="20"/>
      <w:szCs w:val="20"/>
      <w:u w:val="single"/>
      <w:lang w:val="ru-RU" w:eastAsia="ru-RU" w:bidi="ar-SA"/>
    </w:rPr>
  </w:style>
  <w:style w:type="paragraph" w:styleId="Footnote1" w:customStyle="1">
    <w:name w:val="Footnote1"/>
    <w:basedOn w:val="Normal"/>
    <w:link w:val="Footnote"/>
    <w:qFormat/>
    <w:pPr/>
    <w:rPr/>
  </w:style>
  <w:style w:type="paragraph" w:styleId="TOC1">
    <w:name w:val="toc 1"/>
    <w:next w:val="Normal"/>
    <w:link w:val="12"/>
    <w:uiPriority w:val="39"/>
    <w:pPr>
      <w:widowControl/>
      <w:bidi w:val="0"/>
      <w:spacing w:before="0" w:after="0"/>
      <w:jc w:val="star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Style20" w:customStyle="1">
    <w:name w:val="Колонтитулы"/>
    <w:qFormat/>
    <w:pPr>
      <w:widowControl/>
      <w:bidi w:val="0"/>
      <w:spacing w:before="0" w:after="0"/>
      <w:jc w:val="both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Footer">
    <w:name w:val="footer"/>
    <w:basedOn w:val="Normal"/>
    <w:link w:val="Style12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611" w:customStyle="1">
    <w:name w:val="Style61"/>
    <w:basedOn w:val="Normal"/>
    <w:link w:val="Style61"/>
    <w:qFormat/>
    <w:pPr>
      <w:widowControl w:val="false"/>
      <w:spacing w:lineRule="exact" w:line="482"/>
      <w:ind w:firstLine="715"/>
      <w:jc w:val="both"/>
    </w:pPr>
    <w:rPr/>
  </w:style>
  <w:style w:type="paragraph" w:styleId="TOC9">
    <w:name w:val="toc 9"/>
    <w:next w:val="Normal"/>
    <w:link w:val="9"/>
    <w:uiPriority w:val="39"/>
    <w:pPr>
      <w:widowControl/>
      <w:bidi w:val="0"/>
      <w:spacing w:before="0" w:after="0"/>
      <w:ind w:start="16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ConsPlusTitle1" w:customStyle="1">
    <w:name w:val="ConsPlusTitle1"/>
    <w:link w:val="ConsPlusTitle"/>
    <w:qFormat/>
    <w:pPr>
      <w:widowControl w:val="false"/>
      <w:bidi w:val="0"/>
      <w:spacing w:before="0" w:after="0"/>
      <w:jc w:val="start"/>
    </w:pPr>
    <w:rPr>
      <w:rFonts w:ascii="Arial" w:hAnsi="Arial" w:eastAsia="Times New Roman" w:cs="Times New Roman"/>
      <w:b/>
      <w:color w:val="000000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iPriority w:val="99"/>
    <w:qFormat/>
    <w:pPr/>
    <w:rPr>
      <w:rFonts w:ascii="Tahoma" w:hAnsi="Tahoma"/>
      <w:sz w:val="16"/>
    </w:rPr>
  </w:style>
  <w:style w:type="paragraph" w:styleId="Header">
    <w:name w:val="header"/>
    <w:basedOn w:val="Normal"/>
    <w:link w:val="Style14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7" w:customStyle="1">
    <w:name w:val="Основной шрифт абзаца1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TOC8">
    <w:name w:val="toc 8"/>
    <w:next w:val="Normal"/>
    <w:link w:val="8"/>
    <w:uiPriority w:val="39"/>
    <w:pPr>
      <w:widowControl/>
      <w:bidi w:val="0"/>
      <w:spacing w:before="0" w:after="0"/>
      <w:ind w:start="14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CiaeniineeI1" w:customStyle="1">
    <w:name w:val="Ciae niinee I Знак1"/>
    <w:basedOn w:val="Normal"/>
    <w:link w:val="CiaeniineeI"/>
    <w:qFormat/>
    <w:pPr>
      <w:spacing w:lineRule="exact" w:line="240" w:before="120" w:after="160"/>
    </w:pPr>
    <w:rPr>
      <w:vertAlign w:val="superscript"/>
    </w:rPr>
  </w:style>
  <w:style w:type="paragraph" w:styleId="111" w:customStyle="1">
    <w:name w:val="Название Знак11"/>
    <w:link w:val="13"/>
    <w:qFormat/>
    <w:pPr>
      <w:widowControl/>
      <w:bidi w:val="0"/>
      <w:spacing w:before="0" w:after="0"/>
      <w:jc w:val="start"/>
    </w:pPr>
    <w:rPr>
      <w:rFonts w:ascii="Cambria" w:hAnsi="Cambria" w:eastAsia="Times New Roman" w:cs="Times New Roman"/>
      <w:b/>
      <w:color w:val="000000"/>
      <w:kern w:val="0"/>
      <w:sz w:val="32"/>
      <w:szCs w:val="20"/>
      <w:lang w:val="ru-RU" w:eastAsia="ru-RU" w:bidi="ar-SA"/>
    </w:rPr>
  </w:style>
  <w:style w:type="paragraph" w:styleId="TOC5">
    <w:name w:val="toc 5"/>
    <w:next w:val="Normal"/>
    <w:link w:val="51"/>
    <w:uiPriority w:val="39"/>
    <w:pPr>
      <w:widowControl/>
      <w:bidi w:val="0"/>
      <w:spacing w:before="0" w:after="0"/>
      <w:ind w:start="8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ConsPlusCell1" w:customStyle="1">
    <w:name w:val="ConsPlusCell1"/>
    <w:link w:val="ConsPlusCell"/>
    <w:qFormat/>
    <w:pPr>
      <w:widowControl w:val="false"/>
      <w:bidi w:val="0"/>
      <w:spacing w:before="0" w:after="0"/>
      <w:jc w:val="start"/>
    </w:pPr>
    <w:rPr>
      <w:rFonts w:ascii="Courier New" w:hAnsi="Courier New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8" w:customStyle="1">
    <w:name w:val="Номер страницы1"/>
    <w:basedOn w:val="17"/>
    <w:qFormat/>
    <w:pPr/>
    <w:rPr/>
  </w:style>
  <w:style w:type="paragraph" w:styleId="112" w:customStyle="1">
    <w:name w:val="Абзац списка11"/>
    <w:basedOn w:val="Normal"/>
    <w:link w:val="14"/>
    <w:qFormat/>
    <w:pPr>
      <w:spacing w:lineRule="auto" w:line="276" w:before="280" w:after="200"/>
      <w:ind w:start="720"/>
    </w:pPr>
    <w:rPr>
      <w:rFonts w:ascii="Calibri" w:hAnsi="Calibri"/>
      <w:sz w:val="22"/>
    </w:rPr>
  </w:style>
  <w:style w:type="paragraph" w:styleId="Subtitle">
    <w:name w:val="Subtitle"/>
    <w:next w:val="Normal"/>
    <w:link w:val="Style15"/>
    <w:uiPriority w:val="11"/>
    <w:qFormat/>
    <w:pPr>
      <w:widowControl/>
      <w:bidi w:val="0"/>
      <w:spacing w:before="0" w:after="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Title">
    <w:name w:val="Title"/>
    <w:basedOn w:val="Normal"/>
    <w:link w:val="Style16"/>
    <w:uiPriority w:val="10"/>
    <w:qFormat/>
    <w:pPr>
      <w:jc w:val="center"/>
    </w:pPr>
    <w:rPr>
      <w:b/>
    </w:rPr>
  </w:style>
  <w:style w:type="paragraph" w:styleId="footnotedescription" w:customStyle="1">
    <w:name w:val="footnote description"/>
    <w:next w:val="Normal"/>
    <w:qFormat/>
    <w:rsid w:val="00d13295"/>
    <w:pPr>
      <w:widowControl/>
      <w:suppressAutoHyphens w:val="true"/>
      <w:bidi w:val="0"/>
      <w:spacing w:before="0" w:after="7"/>
      <w:ind w:firstLine="708"/>
      <w:jc w:val="both"/>
    </w:pPr>
    <w:rPr>
      <w:rFonts w:ascii="Times New Roman" w:hAnsi="Times New Roman" w:eastAsia="Times New Roman" w:cs="Times New Roman"/>
      <w:color w:val="000000"/>
      <w:kern w:val="0"/>
      <w:sz w:val="20"/>
      <w:szCs w:val="22"/>
      <w:lang w:val="ru-RU" w:eastAsia="ru-RU" w:bidi="ar-SA"/>
    </w:rPr>
  </w:style>
  <w:style w:type="paragraph" w:styleId="Style22">
    <w:name w:val="Содержимое врезки"/>
    <w:basedOn w:val="Normal"/>
    <w:qFormat/>
    <w:pPr/>
    <w:rPr/>
  </w:style>
  <w:style w:type="numbering" w:styleId="Style23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eader" Target="header4.xml"/><Relationship Id="rId7" Type="http://schemas.openxmlformats.org/officeDocument/2006/relationships/header" Target="header5.xml"/><Relationship Id="rId8" Type="http://schemas.openxmlformats.org/officeDocument/2006/relationships/header" Target="header6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CA699-4F8E-4900-897E-BE393E5B5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Application>LibreOffice/25.8.2.2$Linux_X86_64 LibreOffice_project/d401f2107ccab8f924a8e2df40f573aab7605b6f</Application>
  <AppVersion>15.0000</AppVersion>
  <Pages>9</Pages>
  <Words>1464</Words>
  <Characters>11891</Characters>
  <CharactersWithSpaces>13375</CharactersWithSpaces>
  <Paragraphs>182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2025-08-13T04:02:00Z</dcterms:created>
  <dc:creator>User</dc:creator>
  <dc:description/>
  <dc:language>ru-RU</dc:language>
  <cp:lastModifiedBy/>
  <cp:lastPrinted>2025-09-04T09:49:00Z</cp:lastPrinted>
  <dcterms:modified xsi:type="dcterms:W3CDTF">2026-01-19T13:59:57Z</dcterms:modified>
  <cp:revision>203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